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7709B1C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5E2B46">
              <w:rPr>
                <w:rFonts w:ascii="Times New Roman" w:hAnsi="Times New Roman"/>
              </w:rPr>
              <w:t>41</w:t>
            </w:r>
          </w:p>
          <w:p w14:paraId="2017B181" w14:textId="752B4A47"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FD26D7">
              <w:rPr>
                <w:rFonts w:ascii="Times New Roman" w:hAnsi="Times New Roman"/>
              </w:rPr>
              <w:t>4</w:t>
            </w:r>
          </w:p>
          <w:p w14:paraId="48015EB4" w14:textId="6FFDB446"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147492">
              <w:rPr>
                <w:rFonts w:ascii="Times New Roman" w:hAnsi="Times New Roman"/>
              </w:rPr>
              <w:t>5</w:t>
            </w:r>
            <w:r w:rsidR="006710C3">
              <w:rPr>
                <w:rFonts w:ascii="Times New Roman" w:hAnsi="Times New Roman"/>
              </w:rPr>
              <w:t>.</w:t>
            </w:r>
            <w:r w:rsidR="00C46EBC">
              <w:rPr>
                <w:rFonts w:ascii="Times New Roman" w:hAnsi="Times New Roman"/>
              </w:rPr>
              <w:t>0</w:t>
            </w:r>
            <w:r w:rsidR="005E2B46">
              <w:rPr>
                <w:rFonts w:ascii="Times New Roman" w:hAnsi="Times New Roman"/>
              </w:rPr>
              <w:t>6</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59C1A84C"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F34BC8">
        <w:rPr>
          <w:rFonts w:ascii="Times New Roman" w:hAnsi="Times New Roman"/>
        </w:rPr>
        <w:t>12/23</w:t>
      </w:r>
      <w:r w:rsidRPr="00F36D6F">
        <w:rPr>
          <w:rFonts w:ascii="Times New Roman" w:hAnsi="Times New Roman"/>
        </w:rPr>
        <w:t>) i Odluke Gradonačelnika od</w:t>
      </w:r>
      <w:r w:rsidR="005E2B46">
        <w:rPr>
          <w:rFonts w:ascii="Times New Roman" w:hAnsi="Times New Roman"/>
        </w:rPr>
        <w:t xml:space="preserve"> 29.5</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5E2B46">
        <w:rPr>
          <w:rFonts w:ascii="Times New Roman" w:hAnsi="Times New Roman"/>
        </w:rPr>
        <w:t>188</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8261C6">
        <w:rPr>
          <w:rFonts w:ascii="Times New Roman" w:hAnsi="Times New Roman"/>
        </w:rPr>
        <w:t>4</w:t>
      </w:r>
      <w:r w:rsidR="006710C3" w:rsidRPr="000619E6">
        <w:rPr>
          <w:rFonts w:ascii="Times New Roman" w:hAnsi="Times New Roman"/>
        </w:rPr>
        <w:t xml:space="preserve">-2,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77777777"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7C1DBE" w14:textId="13B43B9A" w:rsidR="00150A40" w:rsidRPr="00B41A4E" w:rsidRDefault="00450A36" w:rsidP="00150A40">
      <w:pPr>
        <w:autoSpaceDE w:val="0"/>
        <w:autoSpaceDN w:val="0"/>
        <w:adjustRightInd w:val="0"/>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IZVEDBA NADSTREŠNICE NA DRUŠTVENOJ PROSTORIJI VELENIKI</w:t>
      </w: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06B36239"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450A36">
        <w:rPr>
          <w:rFonts w:ascii="Times New Roman" w:eastAsia="TimesNewRoman,Bold" w:hAnsi="Times New Roman"/>
          <w:b/>
          <w:bCs/>
          <w:sz w:val="24"/>
          <w:szCs w:val="24"/>
        </w:rPr>
        <w:t>126</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BF609" w14:textId="77777777" w:rsidR="00360AAC" w:rsidRPr="00B202A0" w:rsidRDefault="00360AAC" w:rsidP="00B202A0">
      <w:pPr>
        <w:ind w:right="-7"/>
        <w:rPr>
          <w:rFonts w:ascii="Times New Roman" w:hAnsi="Times New Roman"/>
          <w:highlight w:val="cyan"/>
        </w:rPr>
      </w:pPr>
    </w:p>
    <w:p w14:paraId="7E8A7C0D" w14:textId="2ACBDAF5" w:rsidR="00360AAC" w:rsidRDefault="00360AAC" w:rsidP="00B202A0">
      <w:pPr>
        <w:ind w:right="-7"/>
        <w:rPr>
          <w:rFonts w:ascii="Times New Roman" w:hAnsi="Times New Roman"/>
        </w:rPr>
      </w:pPr>
    </w:p>
    <w:p w14:paraId="699BAFF5" w14:textId="77777777" w:rsidR="00450A36" w:rsidRPr="00B202A0" w:rsidRDefault="00450A36"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6AA280B1"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5B92C80A" w14:textId="53838F58" w:rsidR="00BF6A9D" w:rsidRPr="00F36D6F" w:rsidRDefault="00FC779D">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29110DC3" w14:textId="343FE999" w:rsidR="00BF6A9D" w:rsidRPr="00F36D6F" w:rsidRDefault="00FC779D">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E49BB6C" w14:textId="506C58D7" w:rsidR="00BF6A9D" w:rsidRPr="00F36D6F" w:rsidRDefault="00FC779D">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3DA7DFF2" w14:textId="76390DE9" w:rsidR="00BF6A9D" w:rsidRPr="00F36D6F" w:rsidRDefault="00FC779D">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6C472C37" w14:textId="399C3146" w:rsidR="00BF6A9D" w:rsidRPr="00F36D6F" w:rsidRDefault="00FC779D">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FC779D">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033FE8C5" w:rsidR="00BF6A9D" w:rsidRPr="00F36D6F" w:rsidRDefault="00FC779D">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08D97645" w14:textId="1130B619" w:rsidR="00BF6A9D" w:rsidRPr="00F36D6F" w:rsidRDefault="00FC779D">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199AE027" w14:textId="1F515EE2" w:rsidR="00BF6A9D" w:rsidRPr="00F36D6F" w:rsidRDefault="00FC779D">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FC779D">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FC779D">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33ADCE78" w:rsidR="00BF6A9D" w:rsidRPr="00F36D6F" w:rsidRDefault="00FC779D">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53DDDBDA" w14:textId="1C67F66F" w:rsidR="00BF6A9D" w:rsidRPr="00F36D6F" w:rsidRDefault="00FC779D">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01480C2C" w14:textId="6A1C7535" w:rsidR="00BF6A9D" w:rsidRPr="00F36D6F" w:rsidRDefault="00FC779D">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FC779D"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29FC9267" w:rsidR="00BF6A9D" w:rsidRPr="00F36D6F" w:rsidRDefault="00FC779D">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415ACDF3" w14:textId="032C6996" w:rsidR="00BF6A9D" w:rsidRPr="00F36D6F" w:rsidRDefault="00FC779D">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539BBF83" w14:textId="4C7E179D" w:rsidR="00BF6A9D" w:rsidRPr="00F36D6F" w:rsidRDefault="00FC779D">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190EF56F" w14:textId="2EFED6C3" w:rsidR="00BF6A9D" w:rsidRPr="00F36D6F" w:rsidRDefault="00FC779D">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6DEA6BED" w14:textId="684A01C2" w:rsidR="00BF6A9D" w:rsidRPr="00F36D6F" w:rsidRDefault="00FC779D">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553B63AC" w14:textId="77B79419" w:rsidR="00BF6A9D" w:rsidRPr="00F36D6F" w:rsidRDefault="00FC779D">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26BB1FF" w14:textId="618C46A4" w:rsidR="00BF6A9D" w:rsidRPr="00F36D6F" w:rsidRDefault="00FC779D">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8986EC8" w14:textId="6ABC5B1D" w:rsidR="00BF6A9D" w:rsidRPr="00F36D6F" w:rsidRDefault="00FC779D">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ADEE51E" w14:textId="4248957C" w:rsidR="00BF6A9D" w:rsidRPr="00F36D6F" w:rsidRDefault="00FC779D">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04089069" w14:textId="6A117E79" w:rsidR="00BF6A9D" w:rsidRPr="00F36D6F" w:rsidRDefault="00FC779D">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FC779D"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FC779D"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FC779D">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468C9173" w:rsidR="00BF6A9D" w:rsidRPr="00F36D6F" w:rsidRDefault="00FC779D">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6D2CFBE0" w:rsidR="000C6EFC" w:rsidRPr="00F36D6F" w:rsidRDefault="00473054" w:rsidP="000C6EFC">
      <w:pPr>
        <w:ind w:left="-426"/>
        <w:jc w:val="both"/>
        <w:rPr>
          <w:rFonts w:ascii="Times New Roman" w:hAnsi="Times New Roman"/>
        </w:rPr>
      </w:pPr>
      <w:r>
        <w:rPr>
          <w:rFonts w:ascii="Times New Roman" w:hAnsi="Times New Roman"/>
        </w:rPr>
        <w:t>Alja Udovičić</w:t>
      </w:r>
      <w:r w:rsidR="000C6EFC">
        <w:rPr>
          <w:rFonts w:ascii="Times New Roman" w:hAnsi="Times New Roman"/>
        </w:rPr>
        <w:t>, 052/</w:t>
      </w:r>
      <w:r w:rsidR="00063CF0">
        <w:rPr>
          <w:rFonts w:ascii="Times New Roman" w:hAnsi="Times New Roman"/>
        </w:rPr>
        <w:t>451 085</w:t>
      </w:r>
      <w:r w:rsidR="000C6EFC">
        <w:rPr>
          <w:rFonts w:ascii="Times New Roman" w:hAnsi="Times New Roman"/>
        </w:rPr>
        <w:t>, mail:</w:t>
      </w:r>
      <w:r w:rsidR="00D40DF6">
        <w:rPr>
          <w:rFonts w:ascii="Times New Roman" w:hAnsi="Times New Roman"/>
        </w:rPr>
        <w:t xml:space="preserve"> </w:t>
      </w:r>
      <w:r>
        <w:rPr>
          <w:rFonts w:ascii="Times New Roman" w:hAnsi="Times New Roman"/>
        </w:rPr>
        <w:t>Alja.udovicic</w:t>
      </w:r>
      <w:r w:rsidR="000C6EFC">
        <w:rPr>
          <w:rFonts w:ascii="Times New Roman" w:hAnsi="Times New Roman"/>
        </w:rPr>
        <w:t>@porec.hr, za opći dio dokumentacije</w:t>
      </w:r>
      <w:r w:rsidR="000C6EFC" w:rsidRPr="00F36D6F">
        <w:rPr>
          <w:rFonts w:ascii="Times New Roman" w:hAnsi="Times New Roman"/>
        </w:rPr>
        <w:t xml:space="preserve"> </w:t>
      </w:r>
    </w:p>
    <w:p w14:paraId="6D049B6B" w14:textId="7B7731FC" w:rsidR="00360AAC" w:rsidRPr="00F36D6F" w:rsidRDefault="00450A36" w:rsidP="00B906BC">
      <w:pPr>
        <w:ind w:left="-426"/>
        <w:jc w:val="both"/>
        <w:rPr>
          <w:rFonts w:ascii="Times New Roman" w:hAnsi="Times New Roman"/>
        </w:rPr>
      </w:pPr>
      <w:r>
        <w:rPr>
          <w:rFonts w:ascii="Times New Roman" w:hAnsi="Times New Roman"/>
        </w:rPr>
        <w:t>Đanino Ćurko</w:t>
      </w:r>
      <w:r w:rsidR="00360AAC" w:rsidRPr="00F36D6F">
        <w:rPr>
          <w:rFonts w:ascii="Times New Roman" w:hAnsi="Times New Roman"/>
        </w:rPr>
        <w:t xml:space="preserve">, 052 </w:t>
      </w:r>
      <w:r w:rsidR="009440C9">
        <w:rPr>
          <w:rFonts w:ascii="Times New Roman" w:hAnsi="Times New Roman"/>
        </w:rPr>
        <w:t>431 160</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proofErr w:type="spellStart"/>
        <w:r>
          <w:rPr>
            <w:rStyle w:val="Hiperveza"/>
            <w:rFonts w:ascii="Times New Roman" w:hAnsi="Times New Roman"/>
          </w:rPr>
          <w:t>danino.curko</w:t>
        </w:r>
        <w:proofErr w:type="spellEnd"/>
        <w:r w:rsidRPr="00E604CB">
          <w:rPr>
            <w:rStyle w:val="Hiperveza"/>
            <w:rFonts w:ascii="Times New Roman" w:hAnsi="Times New Roman"/>
          </w:rPr>
          <w:t xml:space="preserve"> </w:t>
        </w:r>
        <w:r w:rsidR="00C46EBC" w:rsidRPr="00E604CB">
          <w:rPr>
            <w:rStyle w:val="Hiperveza"/>
            <w:rFonts w:ascii="Times New Roman" w:hAnsi="Times New Roman"/>
          </w:rPr>
          <w:t>@porec.hr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664D4294"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A7639">
        <w:rPr>
          <w:rFonts w:ascii="Times New Roman" w:hAnsi="Times New Roman"/>
        </w:rPr>
        <w:t>126</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0BA3C73E"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3B0EDC">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7F2FE4D9"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3A7639">
        <w:rPr>
          <w:rFonts w:ascii="Times New Roman" w:hAnsi="Times New Roman"/>
        </w:rPr>
        <w:t>26.50</w:t>
      </w:r>
      <w:r w:rsidR="003B0EDC">
        <w:rPr>
          <w:rFonts w:ascii="Times New Roman" w:hAnsi="Times New Roman"/>
        </w:rPr>
        <w:t xml:space="preserve">0,00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1B7581FB" w14:textId="3AD855FB" w:rsidR="003B0ED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3A7639">
        <w:rPr>
          <w:rFonts w:ascii="Times New Roman" w:hAnsi="Times New Roman"/>
        </w:rPr>
        <w:t>Izvedba nadstrešnice na društvenoj prostoriji</w:t>
      </w:r>
      <w:r w:rsidR="00B906BC">
        <w:rPr>
          <w:rFonts w:ascii="Times New Roman" w:hAnsi="Times New Roman"/>
        </w:rPr>
        <w:t xml:space="preserve"> </w:t>
      </w:r>
      <w:proofErr w:type="spellStart"/>
      <w:r w:rsidR="003A7639">
        <w:rPr>
          <w:rFonts w:ascii="Times New Roman" w:hAnsi="Times New Roman"/>
        </w:rPr>
        <w:t>Veleniki</w:t>
      </w:r>
      <w:proofErr w:type="spellEnd"/>
      <w:r w:rsidR="003A7639">
        <w:rPr>
          <w:rFonts w:ascii="Times New Roman" w:hAnsi="Times New Roman"/>
        </w:rPr>
        <w:t>.</w:t>
      </w:r>
    </w:p>
    <w:p w14:paraId="38AC4181" w14:textId="38233C98" w:rsidR="00C46EBC" w:rsidRDefault="00C46EBC" w:rsidP="00E4409D">
      <w:pPr>
        <w:jc w:val="both"/>
        <w:rPr>
          <w:rFonts w:ascii="Times New Roman" w:hAnsi="Times New Roman"/>
        </w:rPr>
      </w:pPr>
      <w:r>
        <w:rPr>
          <w:rFonts w:ascii="Times New Roman" w:hAnsi="Times New Roman"/>
        </w:rPr>
        <w:t>Detaljan opis predmeta nabave nalazi se u troškovniku</w:t>
      </w:r>
      <w:r w:rsidR="00B906BC">
        <w:rPr>
          <w:rFonts w:ascii="Times New Roman" w:hAnsi="Times New Roman"/>
        </w:rPr>
        <w:t xml:space="preserve"> i Građevinskom projektu-projekt konstrukcije</w:t>
      </w:r>
      <w:r>
        <w:rPr>
          <w:rFonts w:ascii="Times New Roman" w:hAnsi="Times New Roman"/>
        </w:rPr>
        <w:t xml:space="preserve"> (Privitak 2).</w:t>
      </w:r>
    </w:p>
    <w:p w14:paraId="22A4F48B" w14:textId="4CA0509E" w:rsidR="00271329" w:rsidRPr="00F36D6F" w:rsidRDefault="00360AAC" w:rsidP="00EA6C52">
      <w:pP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1AAA84AF" w:rsidR="00A6641D" w:rsidRPr="00F36D6F" w:rsidRDefault="00E95A82" w:rsidP="006A47CA">
      <w:pPr>
        <w:ind w:left="-426" w:firstLine="426"/>
        <w:rPr>
          <w:rFonts w:ascii="Times New Roman" w:hAnsi="Times New Roman"/>
        </w:rPr>
      </w:pPr>
      <w:r>
        <w:rPr>
          <w:rFonts w:ascii="Times New Roman" w:eastAsia="ArialOOEnc" w:hAnsi="Times New Roman"/>
        </w:rPr>
        <w:t xml:space="preserve">U </w:t>
      </w:r>
      <w:proofErr w:type="spellStart"/>
      <w:r>
        <w:rPr>
          <w:rFonts w:ascii="Times New Roman" w:eastAsia="ArialOOEnc" w:hAnsi="Times New Roman"/>
        </w:rPr>
        <w:t>Velenikima</w:t>
      </w:r>
      <w:proofErr w:type="spellEnd"/>
      <w:r>
        <w:rPr>
          <w:rFonts w:ascii="Times New Roman" w:eastAsia="ArialOOEnc" w:hAnsi="Times New Roman"/>
        </w:rPr>
        <w:t xml:space="preserve">, </w:t>
      </w:r>
      <w:r w:rsidR="00B906BC">
        <w:rPr>
          <w:rFonts w:ascii="Times New Roman" w:eastAsia="ArialOOEnc" w:hAnsi="Times New Roman"/>
        </w:rPr>
        <w:t xml:space="preserve">na nekretnini oznake </w:t>
      </w:r>
      <w:proofErr w:type="spellStart"/>
      <w:r w:rsidR="00B906BC" w:rsidRPr="00B906BC">
        <w:rPr>
          <w:rFonts w:ascii="Times New Roman" w:eastAsia="ArialOOEnc" w:hAnsi="Times New Roman"/>
        </w:rPr>
        <w:t>k.č</w:t>
      </w:r>
      <w:proofErr w:type="spellEnd"/>
      <w:r w:rsidR="00B906BC" w:rsidRPr="00B906BC">
        <w:rPr>
          <w:rFonts w:ascii="Times New Roman" w:eastAsia="ArialOOEnc" w:hAnsi="Times New Roman"/>
        </w:rPr>
        <w:t>. 340/5 k.o. ŽBANDAJ</w:t>
      </w:r>
      <w:r w:rsidR="00B906BC">
        <w:rPr>
          <w:rFonts w:ascii="Times New Roman" w:eastAsia="ArialOOEnc" w:hAnsi="Times New Roman"/>
        </w:rPr>
        <w:t>, Poreč-</w:t>
      </w:r>
      <w:proofErr w:type="spellStart"/>
      <w:r w:rsidR="00B906BC">
        <w:rPr>
          <w:rFonts w:ascii="Times New Roman" w:eastAsia="ArialOOEnc" w:hAnsi="Times New Roman"/>
        </w:rPr>
        <w:t>Parenzo</w:t>
      </w:r>
      <w:proofErr w:type="spellEnd"/>
      <w:r w:rsidR="00B906BC">
        <w:rPr>
          <w:rFonts w:ascii="Times New Roman" w:eastAsia="ArialOOEnc" w:hAnsi="Times New Roman"/>
        </w:rPr>
        <w:t>.</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217C55A7"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595C93">
        <w:rPr>
          <w:rFonts w:ascii="Times New Roman" w:hAnsi="Times New Roman"/>
          <w:sz w:val="24"/>
          <w:szCs w:val="24"/>
        </w:rPr>
        <w:t>9</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6A47CA">
      <w:pPr>
        <w:ind w:left="-426" w:firstLine="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492936">
      <w:pPr>
        <w:ind w:left="-426" w:firstLine="426"/>
        <w:jc w:val="both"/>
        <w:rPr>
          <w:rFonts w:ascii="Times New Roman" w:hAnsi="Times New Roman"/>
        </w:rPr>
      </w:pPr>
      <w:r w:rsidRPr="003B0C8C">
        <w:rPr>
          <w:rFonts w:ascii="Times New Roman" w:hAnsi="Times New Roman"/>
        </w:rPr>
        <w:t xml:space="preserve">11.1. Nekažnjavanje </w:t>
      </w:r>
    </w:p>
    <w:p w14:paraId="2B6F63B0" w14:textId="77777777" w:rsidR="00034E64" w:rsidRDefault="00034E64" w:rsidP="003B0C8C">
      <w:pPr>
        <w:ind w:left="-426"/>
        <w:jc w:val="both"/>
        <w:rPr>
          <w:rFonts w:ascii="Times New Roman" w:hAnsi="Times New Roman"/>
        </w:rPr>
      </w:pPr>
    </w:p>
    <w:p w14:paraId="0205A2DA" w14:textId="1D6AF616"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w:t>
      </w:r>
      <w:r w:rsidRPr="003B0C8C">
        <w:rPr>
          <w:rFonts w:ascii="Times New Roman" w:hAnsi="Times New Roman"/>
        </w:rPr>
        <w:lastRenderedPageBreak/>
        <w:t xml:space="preserve">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lastRenderedPageBreak/>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386736F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w:t>
      </w:r>
      <w:r w:rsidR="0039445C">
        <w:rPr>
          <w:rFonts w:ascii="Times New Roman" w:hAnsi="Times New Roman"/>
          <w:b/>
        </w:rPr>
        <w:t xml:space="preserve">(1) </w:t>
      </w:r>
      <w:r w:rsidR="004149CF" w:rsidRPr="00F36D6F">
        <w:rPr>
          <w:rFonts w:ascii="Times New Roman" w:hAnsi="Times New Roman"/>
          <w:b/>
        </w:rPr>
        <w:t>ugovor</w:t>
      </w:r>
      <w:r w:rsidR="00F07A76">
        <w:rPr>
          <w:rFonts w:ascii="Times New Roman" w:hAnsi="Times New Roman"/>
          <w:b/>
        </w:rPr>
        <w:t xml:space="preserve">, a najviše </w:t>
      </w:r>
      <w:r w:rsidR="0039445C">
        <w:rPr>
          <w:rFonts w:ascii="Times New Roman" w:hAnsi="Times New Roman"/>
          <w:b/>
        </w:rPr>
        <w:t>tri</w:t>
      </w:r>
      <w:r w:rsidR="00F07A76">
        <w:rPr>
          <w:rFonts w:ascii="Times New Roman" w:hAnsi="Times New Roman"/>
          <w:b/>
        </w:rPr>
        <w:t xml:space="preserve"> (</w:t>
      </w:r>
      <w:r w:rsidR="0039445C">
        <w:rPr>
          <w:rFonts w:ascii="Times New Roman" w:hAnsi="Times New Roman"/>
          <w:b/>
        </w:rPr>
        <w:t>3</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39445C">
        <w:rPr>
          <w:rFonts w:ascii="Times New Roman" w:hAnsi="Times New Roman"/>
          <w:b/>
        </w:rPr>
        <w:t>25</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6EB69BBA" w14:textId="77777777" w:rsidR="00330CCA" w:rsidRPr="0099055F" w:rsidRDefault="00EF1BC4" w:rsidP="00EF1BC4">
      <w:pPr>
        <w:pStyle w:val="Odlomakpopisa"/>
        <w:numPr>
          <w:ilvl w:val="0"/>
          <w:numId w:val="41"/>
        </w:numPr>
        <w:tabs>
          <w:tab w:val="left" w:pos="993"/>
          <w:tab w:val="left" w:pos="1134"/>
        </w:tabs>
        <w:jc w:val="both"/>
        <w:rPr>
          <w:rFonts w:ascii="Times New Roman" w:hAnsi="Times New Roman"/>
        </w:rPr>
      </w:pPr>
      <w:r w:rsidRPr="0099055F">
        <w:rPr>
          <w:rFonts w:ascii="Times New Roman" w:hAnsi="Times New Roman"/>
        </w:rPr>
        <w:t xml:space="preserve">Radovi na </w:t>
      </w:r>
      <w:r w:rsidR="00330CCA" w:rsidRPr="0099055F">
        <w:rPr>
          <w:rFonts w:ascii="Times New Roman" w:hAnsi="Times New Roman"/>
        </w:rPr>
        <w:t>adaptaciji/</w:t>
      </w:r>
      <w:proofErr w:type="spellStart"/>
      <w:r w:rsidR="00330CCA" w:rsidRPr="0099055F">
        <w:rPr>
          <w:rFonts w:ascii="Times New Roman" w:hAnsi="Times New Roman"/>
        </w:rPr>
        <w:t>rekonstruciji</w:t>
      </w:r>
      <w:proofErr w:type="spellEnd"/>
      <w:r w:rsidR="00330CCA" w:rsidRPr="0099055F">
        <w:rPr>
          <w:rFonts w:ascii="Times New Roman" w:hAnsi="Times New Roman"/>
        </w:rPr>
        <w:t>/obnovi stana, poslovnog prostora, zgrade/poslovne zgrade</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5A3DCD06"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w:t>
      </w:r>
      <w:r w:rsidR="00B77E80">
        <w:rPr>
          <w:rFonts w:ascii="Times New Roman" w:hAnsi="Times New Roman"/>
        </w:rPr>
        <w:t>–</w:t>
      </w:r>
      <w:r w:rsidR="00D73C00" w:rsidRPr="00F36D6F">
        <w:rPr>
          <w:rFonts w:ascii="Times New Roman" w:hAnsi="Times New Roman"/>
        </w:rPr>
        <w:t xml:space="preserve"> </w:t>
      </w:r>
      <w:proofErr w:type="spellStart"/>
      <w:r w:rsidR="00D73C00" w:rsidRPr="00F36D6F">
        <w:rPr>
          <w:rFonts w:ascii="Times New Roman" w:hAnsi="Times New Roman"/>
        </w:rPr>
        <w:t>Parenzo</w:t>
      </w:r>
      <w:proofErr w:type="spellEnd"/>
      <w:r w:rsidR="00B77E80">
        <w:rPr>
          <w:rFonts w:ascii="Times New Roman" w:hAnsi="Times New Roman"/>
        </w:rPr>
        <w:t>, www.porec.hr.</w:t>
      </w:r>
    </w:p>
    <w:p w14:paraId="71E3DB21" w14:textId="77777777" w:rsidR="004D249A" w:rsidRPr="00F36D6F" w:rsidRDefault="004D249A" w:rsidP="00A97204">
      <w:pPr>
        <w:ind w:left="-426"/>
        <w:jc w:val="both"/>
        <w:rPr>
          <w:rFonts w:ascii="Times New Roman" w:hAnsi="Times New Roman"/>
        </w:rPr>
      </w:pPr>
    </w:p>
    <w:p w14:paraId="4D5A71FB" w14:textId="5201E74A"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AF51B4">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00AF51B4">
        <w:rPr>
          <w:rFonts w:ascii="Times New Roman" w:hAnsi="Times New Roman"/>
        </w:rPr>
        <w:t xml:space="preserve">                                               </w:t>
      </w:r>
      <w:r w:rsidR="004078EB">
        <w:rPr>
          <w:rFonts w:ascii="Times New Roman" w:hAnsi="Times New Roman"/>
        </w:rPr>
        <w:t xml:space="preserve">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36748643" w14:textId="77777777" w:rsidR="0039445C" w:rsidRDefault="0039445C" w:rsidP="00DE459D">
      <w:pPr>
        <w:spacing w:line="360" w:lineRule="auto"/>
        <w:ind w:left="-426"/>
        <w:rPr>
          <w:rFonts w:ascii="Times New Roman" w:hAnsi="Times New Roman"/>
          <w:b/>
        </w:rPr>
      </w:pPr>
    </w:p>
    <w:p w14:paraId="78562347" w14:textId="6AB4D5A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37D5D32D" w14:textId="7FB714AD"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2DA1309A" w14:textId="1BD2523F" w:rsidR="00205D8C" w:rsidRDefault="00205D8C" w:rsidP="00C24D53">
      <w:pPr>
        <w:spacing w:line="276" w:lineRule="auto"/>
        <w:ind w:left="-426" w:right="-2"/>
        <w:jc w:val="both"/>
        <w:rPr>
          <w:rFonts w:ascii="Times New Roman" w:hAnsi="Times New Roman"/>
        </w:rPr>
      </w:pPr>
    </w:p>
    <w:p w14:paraId="7750D95F" w14:textId="77777777" w:rsidR="00205D8C" w:rsidRPr="00F36D6F" w:rsidRDefault="00205D8C"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lastRenderedPageBreak/>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2F4F8D16" w:rsidR="00A6641D" w:rsidRDefault="00A6641D" w:rsidP="008D0DB9">
      <w:pPr>
        <w:jc w:val="both"/>
        <w:rPr>
          <w:rFonts w:ascii="Times New Roman" w:hAnsi="Times New Roman"/>
        </w:rPr>
      </w:pPr>
    </w:p>
    <w:p w14:paraId="19E4492E" w14:textId="77777777" w:rsidR="0039445C" w:rsidRDefault="0039445C"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728A432F"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 xml:space="preserve">Sva plaćanja naručitelj će izvršiti na poslovni račun odabranog ponuditelja. </w:t>
      </w:r>
    </w:p>
    <w:p w14:paraId="3D405457"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Obračun radova vrši se na osnovu stvarno izvršenih radova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na sljedeći način:</w:t>
      </w:r>
    </w:p>
    <w:p w14:paraId="67F06798" w14:textId="77777777" w:rsidR="00806B24" w:rsidRDefault="00806B24" w:rsidP="00806B24">
      <w:pPr>
        <w:spacing w:line="276" w:lineRule="auto"/>
        <w:ind w:left="-426" w:firstLine="1134"/>
        <w:jc w:val="both"/>
        <w:rPr>
          <w:rFonts w:ascii="Times New Roman" w:hAnsi="Times New Roman"/>
        </w:rPr>
      </w:pPr>
      <w:r w:rsidRPr="00C50E37">
        <w:rPr>
          <w:rFonts w:ascii="Times New Roman" w:hAnsi="Times New Roman"/>
        </w:rPr>
        <w:t>- 100% vrijednosti ispostavljenog e-računa s privitkom računa odnosno privremene ili okončane situacije u roku 30 dana  po ovjeri iste od strane naručitelja, a rok za ovjeru naručitelja iznosi 15 dana od dana zaprimanja računa odnosno privremene ili okončane situacije.</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w:t>
      </w:r>
      <w:proofErr w:type="spellStart"/>
      <w:r w:rsidRPr="003605E9">
        <w:rPr>
          <w:rFonts w:ascii="Times New Roman" w:hAnsi="Times New Roman"/>
        </w:rPr>
        <w:t>soleminiziranu</w:t>
      </w:r>
      <w:proofErr w:type="spellEnd"/>
      <w:r w:rsidRPr="003605E9">
        <w:rPr>
          <w:rFonts w:ascii="Times New Roman" w:hAnsi="Times New Roman"/>
        </w:rPr>
        <w:t xml:space="preserve">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6DD92F7A"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806B24">
        <w:rPr>
          <w:rFonts w:ascii="Times New Roman" w:hAnsi="Times New Roman"/>
          <w:b/>
        </w:rPr>
        <w:t xml:space="preserve"> PREDMET NABAVE</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3247D6D8"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DA3348">
        <w:rPr>
          <w:rFonts w:ascii="Times New Roman" w:hAnsi="Times New Roman"/>
          <w:b/>
          <w:bCs/>
        </w:rPr>
        <w:t xml:space="preserve"> </w:t>
      </w:r>
      <w:r w:rsidR="00806B24">
        <w:rPr>
          <w:rFonts w:ascii="Times New Roman" w:hAnsi="Times New Roman"/>
          <w:b/>
          <w:bCs/>
        </w:rPr>
        <w:t>1</w:t>
      </w:r>
      <w:r w:rsidR="001F736D">
        <w:rPr>
          <w:rFonts w:ascii="Times New Roman" w:hAnsi="Times New Roman"/>
          <w:b/>
          <w:bCs/>
        </w:rPr>
        <w:t>9</w:t>
      </w:r>
      <w:r w:rsidR="00806B24">
        <w:rPr>
          <w:rFonts w:ascii="Times New Roman" w:hAnsi="Times New Roman"/>
          <w:b/>
          <w:bCs/>
        </w:rPr>
        <w:t>.6.2024.</w:t>
      </w:r>
      <w:r w:rsidRPr="00204EFA">
        <w:rPr>
          <w:rFonts w:ascii="Times New Roman" w:hAnsi="Times New Roman"/>
          <w:b/>
        </w:rPr>
        <w:t xml:space="preserve"> godine</w:t>
      </w:r>
      <w:r w:rsidR="00FF5030" w:rsidRPr="00204EFA">
        <w:rPr>
          <w:rFonts w:ascii="Times New Roman" w:hAnsi="Times New Roman"/>
          <w:b/>
        </w:rPr>
        <w:t xml:space="preserve"> do 1</w:t>
      </w:r>
      <w:r w:rsidR="00806B24">
        <w:rPr>
          <w:rFonts w:ascii="Times New Roman" w:hAnsi="Times New Roman"/>
          <w:b/>
        </w:rPr>
        <w:t>3</w:t>
      </w:r>
      <w:r w:rsidRPr="00204EFA">
        <w:rPr>
          <w:rFonts w:ascii="Times New Roman" w:hAnsi="Times New Roman"/>
          <w:b/>
        </w:rPr>
        <w:t>:00 sati.</w:t>
      </w:r>
    </w:p>
    <w:p w14:paraId="26AF9EEF" w14:textId="2DCBBB67"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00806B24">
        <w:rPr>
          <w:rFonts w:ascii="Times New Roman" w:hAnsi="Times New Roman"/>
          <w:b/>
        </w:rPr>
        <w:t xml:space="preserve"> Izvedba nadstrešnice na društvenoj prostoriji </w:t>
      </w:r>
      <w:proofErr w:type="spellStart"/>
      <w:r w:rsidR="00806B24">
        <w:rPr>
          <w:rFonts w:ascii="Times New Roman" w:hAnsi="Times New Roman"/>
          <w:b/>
        </w:rPr>
        <w:t>Veleniki</w:t>
      </w:r>
      <w:proofErr w:type="spellEnd"/>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7BE13D33"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0AF5C51E" w14:textId="1E5A5E74" w:rsidR="00806B24" w:rsidRDefault="00806B24" w:rsidP="00FB3422">
      <w:pPr>
        <w:ind w:left="-426"/>
        <w:jc w:val="both"/>
        <w:rPr>
          <w:rFonts w:ascii="Times New Roman" w:hAnsi="Times New Roman"/>
        </w:rPr>
      </w:pPr>
    </w:p>
    <w:p w14:paraId="0BE65A7E" w14:textId="77777777" w:rsidR="00187FCD" w:rsidRPr="00F36D6F" w:rsidRDefault="00187FCD"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440D4A55" w14:textId="6AFA426C" w:rsidR="00F6138E" w:rsidRPr="00F36D6F" w:rsidRDefault="00F6138E" w:rsidP="00357561">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lastRenderedPageBreak/>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026A1ADC"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F905A9" w:rsidRPr="00F905A9">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1DD328B1" w:rsidR="00FB3422" w:rsidRDefault="00FB3422" w:rsidP="00D30A0A">
      <w:pPr>
        <w:rPr>
          <w:rFonts w:ascii="Times New Roman" w:hAnsi="Times New Roman"/>
          <w:lang w:eastAsia="hr-HR"/>
        </w:rPr>
      </w:pPr>
    </w:p>
    <w:p w14:paraId="48CCC0BA" w14:textId="77777777" w:rsidR="00357561" w:rsidRDefault="00357561" w:rsidP="00D30A0A">
      <w:pPr>
        <w:rPr>
          <w:rFonts w:ascii="Times New Roman" w:hAnsi="Times New Roman"/>
          <w:lang w:eastAsia="hr-HR"/>
        </w:rPr>
      </w:pPr>
    </w:p>
    <w:p w14:paraId="6AEA9AD3" w14:textId="4EED66BC" w:rsidR="001A2502" w:rsidRDefault="001A2502" w:rsidP="00D30A0A">
      <w:pPr>
        <w:rPr>
          <w:rFonts w:ascii="Times New Roman" w:hAnsi="Times New Roman"/>
          <w:lang w:eastAsia="hr-HR"/>
        </w:rPr>
      </w:pPr>
    </w:p>
    <w:p w14:paraId="048B169D" w14:textId="77777777" w:rsidR="006F3B68" w:rsidRDefault="006F3B68"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7580965A"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357561">
              <w:rPr>
                <w:rFonts w:ascii="Times New Roman" w:hAnsi="Times New Roman"/>
                <w:b/>
              </w:rPr>
              <w:t xml:space="preserve"> Izvedba nadstrešnice na društvenoj prostoriji </w:t>
            </w:r>
            <w:proofErr w:type="spellStart"/>
            <w:r w:rsidR="00357561">
              <w:rPr>
                <w:rFonts w:ascii="Times New Roman" w:hAnsi="Times New Roman"/>
                <w:b/>
              </w:rPr>
              <w:t>Veleniki</w:t>
            </w:r>
            <w:proofErr w:type="spellEnd"/>
            <w:r w:rsidR="00357561">
              <w:rPr>
                <w:rFonts w:ascii="Times New Roman" w:hAnsi="Times New Roman"/>
                <w:b/>
              </w:rPr>
              <w:t xml:space="preserve"> </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4C8D3B70" w:rsidR="00FA04EE" w:rsidRPr="00FA04EE" w:rsidRDefault="00FA04EE" w:rsidP="00FA04EE">
      <w:pPr>
        <w:jc w:val="right"/>
        <w:rPr>
          <w:rFonts w:ascii="Times New Roman" w:hAnsi="Times New Roman"/>
          <w:bCs/>
        </w:rPr>
      </w:pPr>
      <w:r w:rsidRPr="00FA04EE">
        <w:rPr>
          <w:rFonts w:ascii="Times New Roman" w:hAnsi="Times New Roman"/>
        </w:rPr>
        <w:t xml:space="preserve">ZA </w:t>
      </w:r>
      <w:r w:rsidR="00357561">
        <w:rPr>
          <w:rFonts w:ascii="Times New Roman" w:hAnsi="Times New Roman"/>
        </w:rPr>
        <w:t xml:space="preserve">PODUGOVARATELJA </w:t>
      </w:r>
      <w:r w:rsidRPr="00FA04EE">
        <w:rPr>
          <w:rFonts w:ascii="Times New Roman" w:hAnsi="Times New Roman"/>
        </w:rPr>
        <w:t>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71080EBF"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357561">
        <w:rPr>
          <w:rFonts w:ascii="Times New Roman" w:hAnsi="Times New Roman"/>
          <w:b/>
        </w:rPr>
        <w:t xml:space="preserve">Izvedba nadstrešnice na društvenoj prostoriji </w:t>
      </w:r>
      <w:proofErr w:type="spellStart"/>
      <w:r w:rsidR="00357561">
        <w:rPr>
          <w:rFonts w:ascii="Times New Roman" w:hAnsi="Times New Roman"/>
          <w:b/>
        </w:rPr>
        <w:t>Veleniki</w:t>
      </w:r>
      <w:proofErr w:type="spellEnd"/>
      <w:r w:rsidR="00357561">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76835AC3"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sidRPr="00DB45C3">
        <w:rPr>
          <w:rFonts w:ascii="Times New Roman" w:hAnsi="Times New Roman"/>
        </w:rPr>
        <w:t>/</w:t>
      </w:r>
      <w:r w:rsidR="00F25349" w:rsidRPr="00DB45C3">
        <w:rPr>
          <w:rFonts w:ascii="Times New Roman" w:hAnsi="Times New Roman"/>
        </w:rPr>
        <w:t xml:space="preserve">bjanko zadužnica </w:t>
      </w:r>
      <w:r w:rsidR="00F25349">
        <w:rPr>
          <w:rFonts w:ascii="Times New Roman" w:hAnsi="Times New Roman"/>
        </w:rPr>
        <w:t>/</w:t>
      </w:r>
      <w:r w:rsidR="00F02A55" w:rsidRPr="00C9436D">
        <w:rPr>
          <w:rFonts w:ascii="Times New Roman" w:hAnsi="Times New Roman"/>
          <w:b/>
          <w:bCs/>
        </w:rPr>
        <w:t>položiti novčani polog</w:t>
      </w:r>
      <w:r w:rsidR="00F02A55" w:rsidRPr="00F36D6F">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357561">
        <w:rPr>
          <w:rFonts w:ascii="Times New Roman" w:hAnsi="Times New Roman"/>
          <w:b/>
        </w:rPr>
        <w:t xml:space="preserve"> Izvedba nadstrešnice na društvenoj prostoriji </w:t>
      </w:r>
      <w:proofErr w:type="spellStart"/>
      <w:r w:rsidR="00357561">
        <w:rPr>
          <w:rFonts w:ascii="Times New Roman" w:hAnsi="Times New Roman"/>
          <w:b/>
        </w:rPr>
        <w:t>Veleniki</w:t>
      </w:r>
      <w:proofErr w:type="spellEnd"/>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F5D967E"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357561">
              <w:rPr>
                <w:rFonts w:ascii="Times New Roman" w:eastAsia="Times New Roman" w:hAnsi="Times New Roman"/>
                <w:b/>
                <w:bCs/>
                <w:lang w:eastAsia="hr-HR"/>
              </w:rPr>
              <w:t xml:space="preserve"> Izvedba nadstrešnice na društvenoj prostoriji </w:t>
            </w:r>
            <w:proofErr w:type="spellStart"/>
            <w:r w:rsidR="00357561">
              <w:rPr>
                <w:rFonts w:ascii="Times New Roman" w:eastAsia="Times New Roman" w:hAnsi="Times New Roman"/>
                <w:b/>
                <w:bCs/>
                <w:lang w:eastAsia="hr-HR"/>
              </w:rPr>
              <w:t>Veleniki</w:t>
            </w:r>
            <w:proofErr w:type="spellEnd"/>
            <w:r w:rsidR="00357561">
              <w:rPr>
                <w:rFonts w:ascii="Times New Roman" w:eastAsia="Times New Roman" w:hAnsi="Times New Roman"/>
                <w:b/>
                <w:bCs/>
                <w:lang w:eastAsia="hr-HR"/>
              </w:rPr>
              <w:t xml:space="preserve"> </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1BD631B1"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9B97" w14:textId="77777777" w:rsidR="00FC779D" w:rsidRDefault="00FC779D" w:rsidP="00DD623C">
      <w:r>
        <w:separator/>
      </w:r>
    </w:p>
  </w:endnote>
  <w:endnote w:type="continuationSeparator" w:id="0">
    <w:p w14:paraId="1D5204E4" w14:textId="77777777" w:rsidR="00FC779D" w:rsidRDefault="00FC779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7A94" w14:textId="77777777" w:rsidR="00FC779D" w:rsidRDefault="00FC779D" w:rsidP="00DD623C">
      <w:r>
        <w:separator/>
      </w:r>
    </w:p>
  </w:footnote>
  <w:footnote w:type="continuationSeparator" w:id="0">
    <w:p w14:paraId="1DEAAD8B" w14:textId="77777777" w:rsidR="00FC779D" w:rsidRDefault="00FC779D"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4E64"/>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3CF0"/>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CAA"/>
    <w:rsid w:val="00147492"/>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87FCD"/>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36D"/>
    <w:rsid w:val="001F7ECF"/>
    <w:rsid w:val="00202B9D"/>
    <w:rsid w:val="002036F0"/>
    <w:rsid w:val="00204EFA"/>
    <w:rsid w:val="00205D8C"/>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26F7"/>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57561"/>
    <w:rsid w:val="00360074"/>
    <w:rsid w:val="003605E9"/>
    <w:rsid w:val="00360AAC"/>
    <w:rsid w:val="00361FE7"/>
    <w:rsid w:val="00362ECE"/>
    <w:rsid w:val="00365F30"/>
    <w:rsid w:val="00366550"/>
    <w:rsid w:val="0036694E"/>
    <w:rsid w:val="00366B3D"/>
    <w:rsid w:val="00370516"/>
    <w:rsid w:val="00375819"/>
    <w:rsid w:val="00376CEA"/>
    <w:rsid w:val="00384146"/>
    <w:rsid w:val="0038735E"/>
    <w:rsid w:val="00390918"/>
    <w:rsid w:val="00390CDC"/>
    <w:rsid w:val="0039181A"/>
    <w:rsid w:val="0039294E"/>
    <w:rsid w:val="0039445C"/>
    <w:rsid w:val="00395579"/>
    <w:rsid w:val="00396856"/>
    <w:rsid w:val="003A0A55"/>
    <w:rsid w:val="003A1FAA"/>
    <w:rsid w:val="003A3902"/>
    <w:rsid w:val="003A7639"/>
    <w:rsid w:val="003B0C8C"/>
    <w:rsid w:val="003B0ED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5AA8"/>
    <w:rsid w:val="00450A36"/>
    <w:rsid w:val="004615BD"/>
    <w:rsid w:val="0046189D"/>
    <w:rsid w:val="004628A1"/>
    <w:rsid w:val="00462EB8"/>
    <w:rsid w:val="00463FDB"/>
    <w:rsid w:val="0046469F"/>
    <w:rsid w:val="004654A0"/>
    <w:rsid w:val="0046552F"/>
    <w:rsid w:val="00465CCE"/>
    <w:rsid w:val="004712D4"/>
    <w:rsid w:val="00473054"/>
    <w:rsid w:val="00483C4C"/>
    <w:rsid w:val="00485C86"/>
    <w:rsid w:val="00485D00"/>
    <w:rsid w:val="004863B0"/>
    <w:rsid w:val="00492936"/>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469C"/>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8153D"/>
    <w:rsid w:val="0058436C"/>
    <w:rsid w:val="00584AFD"/>
    <w:rsid w:val="00585A47"/>
    <w:rsid w:val="0058786E"/>
    <w:rsid w:val="005911EB"/>
    <w:rsid w:val="00592291"/>
    <w:rsid w:val="005926D7"/>
    <w:rsid w:val="00595C93"/>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2B46"/>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47CA"/>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3B68"/>
    <w:rsid w:val="006F47DD"/>
    <w:rsid w:val="006F59DB"/>
    <w:rsid w:val="006F5A29"/>
    <w:rsid w:val="007050D3"/>
    <w:rsid w:val="007057EA"/>
    <w:rsid w:val="00705C44"/>
    <w:rsid w:val="00712EBB"/>
    <w:rsid w:val="007141E5"/>
    <w:rsid w:val="007161AD"/>
    <w:rsid w:val="00720B4F"/>
    <w:rsid w:val="0072101D"/>
    <w:rsid w:val="00723D92"/>
    <w:rsid w:val="00726888"/>
    <w:rsid w:val="00730A78"/>
    <w:rsid w:val="00734484"/>
    <w:rsid w:val="007355FC"/>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06B24"/>
    <w:rsid w:val="00812AC4"/>
    <w:rsid w:val="0081402F"/>
    <w:rsid w:val="008146C3"/>
    <w:rsid w:val="00814997"/>
    <w:rsid w:val="00815297"/>
    <w:rsid w:val="00815CFF"/>
    <w:rsid w:val="008163B8"/>
    <w:rsid w:val="00817036"/>
    <w:rsid w:val="0081714B"/>
    <w:rsid w:val="0081723F"/>
    <w:rsid w:val="00821646"/>
    <w:rsid w:val="00822106"/>
    <w:rsid w:val="00822509"/>
    <w:rsid w:val="008237FF"/>
    <w:rsid w:val="0082608D"/>
    <w:rsid w:val="008261C6"/>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3DA0"/>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0C9"/>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9055F"/>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2D61"/>
    <w:rsid w:val="00AA3509"/>
    <w:rsid w:val="00AA5240"/>
    <w:rsid w:val="00AA68E0"/>
    <w:rsid w:val="00AB07C9"/>
    <w:rsid w:val="00AB1E5C"/>
    <w:rsid w:val="00AB3769"/>
    <w:rsid w:val="00AB70CF"/>
    <w:rsid w:val="00AB78A3"/>
    <w:rsid w:val="00AC03B3"/>
    <w:rsid w:val="00AC0DC1"/>
    <w:rsid w:val="00AC300C"/>
    <w:rsid w:val="00AC31B7"/>
    <w:rsid w:val="00AC40BA"/>
    <w:rsid w:val="00AC58D4"/>
    <w:rsid w:val="00AC663F"/>
    <w:rsid w:val="00AE00F8"/>
    <w:rsid w:val="00AE0B42"/>
    <w:rsid w:val="00AE371A"/>
    <w:rsid w:val="00AE37AF"/>
    <w:rsid w:val="00AF2C6E"/>
    <w:rsid w:val="00AF51B4"/>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77E80"/>
    <w:rsid w:val="00B80F9D"/>
    <w:rsid w:val="00B81BB5"/>
    <w:rsid w:val="00B82FF5"/>
    <w:rsid w:val="00B857A1"/>
    <w:rsid w:val="00B903B4"/>
    <w:rsid w:val="00B906BC"/>
    <w:rsid w:val="00B93F81"/>
    <w:rsid w:val="00B94F2F"/>
    <w:rsid w:val="00B95E47"/>
    <w:rsid w:val="00BA28F1"/>
    <w:rsid w:val="00BA44A0"/>
    <w:rsid w:val="00BA6DD5"/>
    <w:rsid w:val="00BB422B"/>
    <w:rsid w:val="00BB4660"/>
    <w:rsid w:val="00BB4C2D"/>
    <w:rsid w:val="00BB68ED"/>
    <w:rsid w:val="00BB7200"/>
    <w:rsid w:val="00BC3D35"/>
    <w:rsid w:val="00BC566D"/>
    <w:rsid w:val="00BC63D6"/>
    <w:rsid w:val="00BC739B"/>
    <w:rsid w:val="00BC78FB"/>
    <w:rsid w:val="00BC7C5D"/>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39A8"/>
    <w:rsid w:val="00D56C43"/>
    <w:rsid w:val="00D64922"/>
    <w:rsid w:val="00D676E2"/>
    <w:rsid w:val="00D70530"/>
    <w:rsid w:val="00D70E11"/>
    <w:rsid w:val="00D73C00"/>
    <w:rsid w:val="00D75B0F"/>
    <w:rsid w:val="00D774C6"/>
    <w:rsid w:val="00D80E3B"/>
    <w:rsid w:val="00D81597"/>
    <w:rsid w:val="00D83BBA"/>
    <w:rsid w:val="00D87DE1"/>
    <w:rsid w:val="00D932B7"/>
    <w:rsid w:val="00D95875"/>
    <w:rsid w:val="00DA0022"/>
    <w:rsid w:val="00DA0F2C"/>
    <w:rsid w:val="00DA1FF9"/>
    <w:rsid w:val="00DA3348"/>
    <w:rsid w:val="00DA4D4C"/>
    <w:rsid w:val="00DA53DA"/>
    <w:rsid w:val="00DB0F8B"/>
    <w:rsid w:val="00DB34A3"/>
    <w:rsid w:val="00DB45C3"/>
    <w:rsid w:val="00DB5745"/>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412E"/>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2F3A"/>
    <w:rsid w:val="00E85CC4"/>
    <w:rsid w:val="00E8613A"/>
    <w:rsid w:val="00E872B9"/>
    <w:rsid w:val="00E902FC"/>
    <w:rsid w:val="00E9199A"/>
    <w:rsid w:val="00E93430"/>
    <w:rsid w:val="00E95A82"/>
    <w:rsid w:val="00EA1D36"/>
    <w:rsid w:val="00EA68DE"/>
    <w:rsid w:val="00EA6C52"/>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3B90"/>
    <w:rsid w:val="00F44C5B"/>
    <w:rsid w:val="00F50572"/>
    <w:rsid w:val="00F50E28"/>
    <w:rsid w:val="00F55CD2"/>
    <w:rsid w:val="00F571A9"/>
    <w:rsid w:val="00F6138E"/>
    <w:rsid w:val="00F6149A"/>
    <w:rsid w:val="00F640DE"/>
    <w:rsid w:val="00F656E8"/>
    <w:rsid w:val="00F70A43"/>
    <w:rsid w:val="00F710E2"/>
    <w:rsid w:val="00F72C5E"/>
    <w:rsid w:val="00F7622A"/>
    <w:rsid w:val="00F77F3F"/>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4ADF"/>
    <w:rsid w:val="00FC713D"/>
    <w:rsid w:val="00FC779D"/>
    <w:rsid w:val="00FD26D7"/>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22</Pages>
  <Words>7202</Words>
  <Characters>41058</Characters>
  <Application>Microsoft Office Word</Application>
  <DocSecurity>0</DocSecurity>
  <Lines>342</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231</cp:revision>
  <cp:lastPrinted>2024-02-13T13:21:00Z</cp:lastPrinted>
  <dcterms:created xsi:type="dcterms:W3CDTF">2019-12-30T09:43:00Z</dcterms:created>
  <dcterms:modified xsi:type="dcterms:W3CDTF">2024-06-05T07:54:00Z</dcterms:modified>
</cp:coreProperties>
</file>